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Y="-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0"/>
        <w:gridCol w:w="2525"/>
      </w:tblGrid>
      <w:tr w:rsidR="007B53BD" w:rsidTr="00CD3C3D">
        <w:tc>
          <w:tcPr>
            <w:tcW w:w="6830" w:type="dxa"/>
          </w:tcPr>
          <w:p w:rsidR="007B53BD" w:rsidRDefault="007B53BD" w:rsidP="00C47CF0">
            <w:pPr>
              <w:spacing w:before="20" w:after="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4793C3" wp14:editId="14FC86CB">
                  <wp:extent cx="3002280" cy="835660"/>
                  <wp:effectExtent l="0" t="0" r="7620" b="254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7B53BD" w:rsidRPr="007B53BD" w:rsidRDefault="00962014" w:rsidP="00C47CF0">
            <w:pPr>
              <w:spacing w:before="20" w:after="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BA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C47CF0" w:rsidRPr="006836A7" w:rsidTr="00CD3C3D">
        <w:tc>
          <w:tcPr>
            <w:tcW w:w="9355" w:type="dxa"/>
            <w:gridSpan w:val="2"/>
          </w:tcPr>
          <w:p w:rsidR="00C47CF0" w:rsidRPr="0075414A" w:rsidRDefault="00C47CF0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014" w:rsidRPr="00E43F53" w:rsidRDefault="00962014" w:rsidP="00E43F5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7CF0" w:rsidRPr="00E43F53" w:rsidRDefault="00C47CF0" w:rsidP="00E43F5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F53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</w:t>
            </w:r>
            <w:r w:rsidR="00962014" w:rsidRPr="00E43F53">
              <w:rPr>
                <w:rFonts w:ascii="Times New Roman" w:hAnsi="Times New Roman" w:cs="Times New Roman"/>
                <w:b/>
                <w:sz w:val="28"/>
                <w:szCs w:val="28"/>
              </w:rPr>
              <w:t>Е ЗАКЛЮЧЕНИЕ</w:t>
            </w:r>
            <w:r w:rsidR="007B53BD" w:rsidRPr="00E43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</w:t>
            </w:r>
            <w:r w:rsidRPr="00E43F53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7B53BD" w:rsidRPr="00E43F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43F53">
              <w:rPr>
                <w:rFonts w:ascii="Times New Roman" w:hAnsi="Times New Roman" w:cs="Times New Roman"/>
                <w:b/>
                <w:sz w:val="28"/>
                <w:szCs w:val="28"/>
              </w:rPr>
              <w:t>-ЭЗ</w:t>
            </w:r>
          </w:p>
          <w:p w:rsidR="00962014" w:rsidRDefault="00C47CF0" w:rsidP="00E43F5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F53">
              <w:rPr>
                <w:rFonts w:ascii="Times New Roman" w:hAnsi="Times New Roman" w:cs="Times New Roman"/>
                <w:b/>
                <w:sz w:val="28"/>
                <w:szCs w:val="28"/>
              </w:rPr>
              <w:t>Совета потребителей по во</w:t>
            </w:r>
            <w:r w:rsidR="00E43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просам деятельности ОАО «РЖД» и </w:t>
            </w:r>
            <w:r w:rsidRPr="00E43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ДЗО </w:t>
            </w:r>
            <w:r w:rsidR="00962014" w:rsidRPr="00E43F53">
              <w:rPr>
                <w:rFonts w:ascii="Times New Roman" w:hAnsi="Times New Roman" w:cs="Times New Roman"/>
                <w:b/>
                <w:sz w:val="28"/>
                <w:szCs w:val="28"/>
              </w:rPr>
              <w:t>О представлении согласованных предложений совершенствования механизмов приема и исполнения заявок на перевозку грузов в условиях ограниченной пропускной способности инфраструктуры железнодорожного транспорта общего пользования</w:t>
            </w:r>
          </w:p>
          <w:p w:rsidR="00E43F53" w:rsidRPr="00E43F53" w:rsidRDefault="00E43F53" w:rsidP="00E43F53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6A7" w:rsidRPr="0075414A" w:rsidRDefault="006836A7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309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о исполнение </w:t>
            </w: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 </w:t>
            </w:r>
            <w:r w:rsidR="00182309" w:rsidRPr="0075414A">
              <w:rPr>
                <w:rFonts w:ascii="Times New Roman" w:hAnsi="Times New Roman" w:cs="Times New Roman"/>
                <w:sz w:val="28"/>
                <w:szCs w:val="28"/>
              </w:rPr>
              <w:t>п.10 протокола совещания у заместителей Председателя Правительства Российской Федерации М. А. Акимова</w:t>
            </w:r>
            <w:r w:rsidR="007B53BD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309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305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182309" w:rsidRPr="0075414A">
              <w:rPr>
                <w:rFonts w:ascii="Times New Roman" w:hAnsi="Times New Roman" w:cs="Times New Roman"/>
                <w:sz w:val="28"/>
                <w:szCs w:val="28"/>
              </w:rPr>
              <w:t>Д. Н. Козака</w:t>
            </w:r>
            <w:r w:rsidR="006947D0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 №МА-П9-53пр от 13.08.2018 г.</w:t>
            </w: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182309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представлении согласованных предложений совершенствования механизмов приема и исполнения заявок на перевозку грузов в условиях ограниченной пропускной способности инфраструктуры железнодорожного транспорта общего </w:t>
            </w: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Совет потребителей </w:t>
            </w:r>
            <w:r w:rsidR="009B30AB">
              <w:rPr>
                <w:rFonts w:ascii="Times New Roman" w:hAnsi="Times New Roman" w:cs="Times New Roman"/>
                <w:sz w:val="28"/>
                <w:szCs w:val="28"/>
              </w:rPr>
              <w:t>сообщает</w:t>
            </w: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</w:t>
            </w:r>
            <w:r w:rsidR="00182309" w:rsidRPr="00754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027" w:rsidRPr="00E43F53" w:rsidRDefault="008C0E2F" w:rsidP="00E43F53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Касательно </w:t>
            </w:r>
            <w:r w:rsidR="006836A7" w:rsidRPr="008C0E2F">
              <w:rPr>
                <w:sz w:val="28"/>
                <w:szCs w:val="28"/>
                <w:u w:val="single"/>
              </w:rPr>
              <w:t>приема заявок на перевозку грузов.</w:t>
            </w:r>
          </w:p>
          <w:p w:rsidR="0075414A" w:rsidRDefault="005E3027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правил подачи заявок на перевозку грузов построено на основании принципа публичности в соответствии со ст.426 ГК РФ, которой перевозка транспортом общего пользования отнесена к категории публичных договоров.  Уставом железнодорожного транспорта РФ (статья 11) предусмотрено, что  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(далее - заявка). </w:t>
            </w:r>
            <w:r w:rsidR="00F20984" w:rsidRPr="0075414A">
              <w:rPr>
                <w:rFonts w:ascii="Times New Roman" w:hAnsi="Times New Roman" w:cs="Times New Roman"/>
                <w:sz w:val="28"/>
                <w:szCs w:val="28"/>
              </w:rPr>
              <w:t>В заявке грузоотправитель должен указать срок действия заявки, но не более чем сорок пять дней.</w:t>
            </w: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DE7"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Правил</w:t>
            </w:r>
            <w:r w:rsidR="00502DE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502DE7"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приема перевозчиком заявок грузоотправителей на перевозку грузов железнодорожным транспортом</w:t>
            </w:r>
            <w:r w:rsidR="00502DE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утверждены </w:t>
            </w:r>
            <w:r w:rsidR="00502DE7"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</w:t>
            </w:r>
            <w:r w:rsidR="00502DE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</w:t>
            </w:r>
            <w:r w:rsidR="00502DE7"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Минтранса России от 27.07.2015 N 228</w:t>
            </w:r>
            <w:r w:rsidR="00502DE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постоянно актуализируются. </w:t>
            </w: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Перевозчику предоставлено право </w:t>
            </w:r>
            <w:r w:rsidR="0075414A" w:rsidRPr="0075414A">
              <w:rPr>
                <w:rFonts w:ascii="Times New Roman" w:hAnsi="Times New Roman" w:cs="Times New Roman"/>
                <w:sz w:val="28"/>
                <w:szCs w:val="28"/>
              </w:rPr>
              <w:t>согласовать заявку в по</w:t>
            </w:r>
            <w:r w:rsidR="00DC292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5414A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ном объеме, согласовать ее частично или </w:t>
            </w: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>отказать в согласовании заявки</w:t>
            </w:r>
            <w:r w:rsidR="0075414A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14A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  Перечень оснований для отказа в согласовании заявки перевозчиком не является закрытым.  </w:t>
            </w:r>
            <w:r w:rsidR="00F20984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 имеет право </w:t>
            </w:r>
            <w:r w:rsidR="0075414A" w:rsidRPr="0075414A">
              <w:rPr>
                <w:rFonts w:ascii="Times New Roman" w:hAnsi="Times New Roman" w:cs="Times New Roman"/>
                <w:sz w:val="28"/>
                <w:szCs w:val="28"/>
              </w:rPr>
              <w:t>отказать в согласовании заявки, в том числе, в случае обоснованного отсутствия технических и технологических возможностей осуществления перевозки. Приказ</w:t>
            </w:r>
            <w:r w:rsidR="0075414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5414A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 Минтранса России от </w:t>
            </w:r>
            <w:r w:rsidR="0075414A" w:rsidRPr="00754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06.09.2010 N 192</w:t>
            </w:r>
            <w:r w:rsidR="0075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14A" w:rsidRPr="0075414A">
              <w:rPr>
                <w:rFonts w:ascii="Times New Roman" w:hAnsi="Times New Roman" w:cs="Times New Roman"/>
                <w:sz w:val="28"/>
                <w:szCs w:val="28"/>
              </w:rPr>
              <w:t>"Об утверждении Перечня критериев технических и технологических возможностей осуществления перевозки, отсутствие которых является для перевозчика и владельца инфраструктуры основанием отказа от согласования заявки, на перевозку грузов"</w:t>
            </w:r>
            <w:r w:rsidR="00DC2923">
              <w:rPr>
                <w:rFonts w:ascii="Times New Roman" w:hAnsi="Times New Roman" w:cs="Times New Roman"/>
                <w:sz w:val="28"/>
                <w:szCs w:val="28"/>
              </w:rPr>
              <w:t xml:space="preserve"> конкретизированы основания отказа в приеме заявки.  </w:t>
            </w:r>
          </w:p>
          <w:p w:rsidR="00502DE7" w:rsidRDefault="00DC2923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следует учитывать, что у грузоотправителей отсутствует возможность контроля </w:t>
            </w:r>
            <w:r w:rsidRPr="00DC2923">
              <w:rPr>
                <w:rFonts w:ascii="Times New Roman" w:hAnsi="Times New Roman" w:cs="Times New Roman"/>
                <w:sz w:val="28"/>
                <w:szCs w:val="28"/>
              </w:rPr>
              <w:t>обоснованно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DC2923">
              <w:rPr>
                <w:rFonts w:ascii="Times New Roman" w:hAnsi="Times New Roman" w:cs="Times New Roman"/>
                <w:sz w:val="28"/>
                <w:szCs w:val="28"/>
              </w:rPr>
              <w:t>отсутствия технических и технологических возможностей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  <w:r w:rsidR="00122B55">
              <w:rPr>
                <w:rFonts w:ascii="Times New Roman" w:hAnsi="Times New Roman" w:cs="Times New Roman"/>
                <w:sz w:val="28"/>
                <w:szCs w:val="28"/>
              </w:rPr>
              <w:t xml:space="preserve"> заявок перевозчиком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2B5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системы грузовых перевозок </w:t>
            </w:r>
            <w:proofErr w:type="gramStart"/>
            <w:r w:rsidR="00122B55">
              <w:rPr>
                <w:rFonts w:ascii="Times New Roman" w:hAnsi="Times New Roman" w:cs="Times New Roman"/>
                <w:sz w:val="28"/>
                <w:szCs w:val="28"/>
              </w:rPr>
              <w:t>и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грузовых перевозок на инфраструктуре общего пользования осуществляется ОАО «РЖД».  Информация о </w:t>
            </w:r>
            <w:r w:rsidR="00122B55">
              <w:rPr>
                <w:rFonts w:ascii="Times New Roman" w:hAnsi="Times New Roman" w:cs="Times New Roman"/>
                <w:sz w:val="28"/>
                <w:szCs w:val="28"/>
              </w:rPr>
              <w:t xml:space="preserve">лимитах пропускных способностей недоступна иным лицам, включая участников перевозочного процесса. </w:t>
            </w:r>
          </w:p>
          <w:p w:rsidR="00502DE7" w:rsidRDefault="00122B55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потребителей неоднократно указывал на необходимость внедрения ОАО «РЖД» </w:t>
            </w:r>
            <w:r w:rsidRPr="00122B55">
              <w:rPr>
                <w:rFonts w:ascii="Times New Roman" w:hAnsi="Times New Roman" w:cs="Times New Roman"/>
                <w:sz w:val="28"/>
                <w:szCs w:val="28"/>
              </w:rPr>
              <w:t>новых стандартов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раскрытия информации, предусматривающих </w:t>
            </w:r>
            <w:r w:rsidRPr="00122B55">
              <w:rPr>
                <w:rFonts w:ascii="Times New Roman" w:hAnsi="Times New Roman" w:cs="Times New Roman"/>
                <w:sz w:val="28"/>
                <w:szCs w:val="28"/>
              </w:rPr>
              <w:t>повышение «прозрачности»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транспарентности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актуальности)</w:t>
            </w:r>
            <w:r w:rsidRPr="00122B5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перевозочном процессе, об ограничениях технологического характера, существующих на сети ОАО «РЖД» и пр.</w:t>
            </w:r>
            <w:r w:rsidR="0050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0AB">
              <w:rPr>
                <w:rFonts w:ascii="Times New Roman" w:hAnsi="Times New Roman" w:cs="Times New Roman"/>
                <w:sz w:val="28"/>
                <w:szCs w:val="28"/>
              </w:rPr>
              <w:t>По сути,</w:t>
            </w:r>
            <w:r w:rsidR="006C7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0AB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перевозку грузов является предварительным договором и имеет </w:t>
            </w:r>
            <w:r w:rsidR="006C7AE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для планирования перевозок как грузоотправителем, так и ОАО «РЖД».  Перевозка осуществляется на основании договора перевозки, оформляемого железнодорожной транспортной накладной. </w:t>
            </w:r>
            <w:r w:rsidR="00502DE7">
              <w:rPr>
                <w:rFonts w:ascii="Times New Roman" w:hAnsi="Times New Roman" w:cs="Times New Roman"/>
                <w:sz w:val="28"/>
                <w:szCs w:val="28"/>
              </w:rPr>
              <w:t>Система продаж (коммерческая инфраструктура) на цифровой железной дороге должна функционировать на принципах совместного пользования информационными системами авторизированными участниками, включать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DE7" w:rsidRPr="00502DE7">
              <w:rPr>
                <w:rFonts w:ascii="Times New Roman" w:hAnsi="Times New Roman" w:cs="Times New Roman"/>
                <w:sz w:val="28"/>
                <w:szCs w:val="28"/>
              </w:rPr>
              <w:t>обеспечение сквозного контроля за вносимой и корректируемой информацией (пользователь, внесший изменения, дата/время изменений, причина и т.д.), в том числе с использованием технол</w:t>
            </w:r>
            <w:r w:rsidR="00502DE7">
              <w:rPr>
                <w:rFonts w:ascii="Times New Roman" w:hAnsi="Times New Roman" w:cs="Times New Roman"/>
                <w:sz w:val="28"/>
                <w:szCs w:val="28"/>
              </w:rPr>
              <w:t>огии «</w:t>
            </w:r>
            <w:proofErr w:type="spellStart"/>
            <w:r w:rsidR="00502DE7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="00502DE7">
              <w:rPr>
                <w:rFonts w:ascii="Times New Roman" w:hAnsi="Times New Roman" w:cs="Times New Roman"/>
                <w:sz w:val="28"/>
                <w:szCs w:val="28"/>
              </w:rPr>
              <w:t xml:space="preserve">» или ее аналогов.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информационных систем, открытых для участников перевозочного процесса и профессиональных логистов,</w:t>
            </w:r>
            <w:r w:rsidR="00502DE7">
              <w:rPr>
                <w:rFonts w:ascii="Times New Roman" w:hAnsi="Times New Roman" w:cs="Times New Roman"/>
                <w:sz w:val="28"/>
                <w:szCs w:val="28"/>
              </w:rPr>
              <w:t xml:space="preserve"> сделает открытыми лимиты пропускных способностей в режиме реального времени,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существенно повысить эффективность планирования перевозок и, соответственно, эффективность системы железнодорожного транспорта.</w:t>
            </w:r>
            <w:r w:rsidR="00502DE7" w:rsidRPr="0050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AB" w:rsidRPr="009B30AB">
              <w:rPr>
                <w:rFonts w:ascii="Times New Roman" w:hAnsi="Times New Roman" w:cs="Times New Roman"/>
                <w:sz w:val="28"/>
                <w:szCs w:val="28"/>
              </w:rPr>
              <w:t xml:space="preserve">Новый формат раскрытия информации </w:t>
            </w:r>
            <w:r w:rsidR="009B30AB">
              <w:rPr>
                <w:rFonts w:ascii="Times New Roman" w:hAnsi="Times New Roman" w:cs="Times New Roman"/>
                <w:sz w:val="28"/>
                <w:szCs w:val="28"/>
              </w:rPr>
              <w:t>может стать</w:t>
            </w:r>
            <w:r w:rsidR="009B30AB" w:rsidRPr="009B30AB">
              <w:rPr>
                <w:rFonts w:ascii="Times New Roman" w:hAnsi="Times New Roman" w:cs="Times New Roman"/>
                <w:sz w:val="28"/>
                <w:szCs w:val="28"/>
              </w:rPr>
              <w:t xml:space="preserve"> рычагом реализации права на недискриминационный доступ к услугам ОАО «РЖД» и позволит профессиональным участникам рынка и потребителям принимать оптимальные технологические и коммерческие решения.</w:t>
            </w:r>
            <w:r w:rsidR="009B30AB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правил приема заявок связано с изменением правил доступа к информационным ресурсам ОАО «РЖД».</w:t>
            </w:r>
          </w:p>
          <w:p w:rsidR="009B30AB" w:rsidRDefault="009B30AB" w:rsidP="00E43F53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u w:val="single"/>
              </w:rPr>
            </w:pPr>
            <w:r w:rsidRPr="009B30AB">
              <w:rPr>
                <w:sz w:val="28"/>
                <w:szCs w:val="28"/>
                <w:u w:val="single"/>
              </w:rPr>
              <w:lastRenderedPageBreak/>
              <w:t>Касательно законодательного введения права на приоритетный доступ к услугам грузовых железнодорожных перевозок в условиях ограниченной пропускной способности инфраструктуры железнодорожного транспорта общего пользования.</w:t>
            </w:r>
          </w:p>
          <w:p w:rsidR="009B30AB" w:rsidRPr="00E43F53" w:rsidRDefault="009B30AB" w:rsidP="00E43F53">
            <w:pPr>
              <w:pStyle w:val="a3"/>
              <w:spacing w:line="276" w:lineRule="auto"/>
              <w:ind w:left="0" w:firstLine="709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 w:rsidRPr="00E43F53">
              <w:rPr>
                <w:rFonts w:eastAsiaTheme="minorHAnsi"/>
                <w:sz w:val="28"/>
                <w:szCs w:val="28"/>
                <w:lang w:eastAsia="en-US" w:bidi="ru-RU"/>
              </w:rPr>
              <w:t>Данный вопрос неразрывно связан с вопросами о правилах подачи</w:t>
            </w:r>
            <w:r w:rsidR="008C0E2F" w:rsidRPr="00E43F53">
              <w:rPr>
                <w:rFonts w:eastAsiaTheme="minorHAnsi"/>
                <w:sz w:val="28"/>
                <w:szCs w:val="28"/>
                <w:lang w:eastAsia="en-US" w:bidi="ru-RU"/>
              </w:rPr>
              <w:t xml:space="preserve"> и исполнения</w:t>
            </w:r>
            <w:r w:rsidRPr="00E43F53">
              <w:rPr>
                <w:rFonts w:eastAsiaTheme="minorHAnsi"/>
                <w:sz w:val="28"/>
                <w:szCs w:val="28"/>
                <w:lang w:eastAsia="en-US" w:bidi="ru-RU"/>
              </w:rPr>
              <w:t xml:space="preserve"> заявок на перевозку грузов. </w:t>
            </w:r>
          </w:p>
          <w:p w:rsidR="009B30AB" w:rsidRPr="00E43F53" w:rsidRDefault="009B30AB" w:rsidP="00E43F53">
            <w:pPr>
              <w:pStyle w:val="a3"/>
              <w:spacing w:line="276" w:lineRule="auto"/>
              <w:ind w:left="0" w:firstLine="709"/>
              <w:jc w:val="both"/>
              <w:rPr>
                <w:rFonts w:eastAsiaTheme="minorHAnsi"/>
                <w:sz w:val="28"/>
                <w:szCs w:val="28"/>
                <w:lang w:eastAsia="en-US" w:bidi="ru-RU"/>
              </w:rPr>
            </w:pPr>
            <w:r w:rsidRPr="00E43F53">
              <w:rPr>
                <w:rFonts w:eastAsiaTheme="minorHAnsi"/>
                <w:sz w:val="28"/>
                <w:szCs w:val="28"/>
                <w:lang w:eastAsia="en-US" w:bidi="ru-RU"/>
              </w:rPr>
              <w:t xml:space="preserve">В настоящий момент законом предусмотрен исключительный приоритет перевозки грузов, предназначенных для ликвидации последствий чрезвычайных ситуаций. </w:t>
            </w:r>
            <w:r w:rsidR="006C7AEB" w:rsidRPr="00E43F53">
              <w:rPr>
                <w:rFonts w:eastAsiaTheme="minorHAnsi"/>
                <w:sz w:val="28"/>
                <w:szCs w:val="28"/>
                <w:lang w:eastAsia="en-US" w:bidi="ru-RU"/>
              </w:rPr>
              <w:t>Заявки на иные виды грузов принимаются у всех грузоотправителей на равных основаниях.</w:t>
            </w:r>
          </w:p>
          <w:p w:rsidR="006C7AEB" w:rsidRPr="0075414A" w:rsidRDefault="006C7AEB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зменения в федеральные законы «Устав железнодорожного транспорта РФ», «О железнодорожном транспорте в РФ» в части введения механизма</w:t>
            </w:r>
            <w:r w:rsidR="00E43F53" w:rsidRPr="00E43F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43F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приоритетных</w:t>
            </w:r>
            <w:r w:rsidR="00E43F53" w:rsidRPr="00E43F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43F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перевозок</w:t>
            </w:r>
            <w:r w:rsidR="00E43F53" w:rsidRPr="00E43F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43F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для</w:t>
            </w:r>
            <w:r w:rsidR="00E43F53" w:rsidRPr="00E43F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грузоотправителей</w:t>
            </w:r>
            <w:r w:rsidR="00E43F53" w:rsidRPr="00E43F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</w:t>
            </w:r>
            <w:r w:rsidR="00E43F53" w:rsidRPr="00E43F5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грузополучателей, заключивших договоры с ОАО «РЖД», включая инвестиционные договоры, </w:t>
            </w:r>
            <w:r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содержат экономические риски и неопределенности для грузоотправителей и грузополучателей, как подписавших, так и не подписавших долгосрочные соглашения</w:t>
            </w:r>
            <w:r w:rsidR="008C0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</w:t>
            </w:r>
            <w:r w:rsidR="008C0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CD3C3D"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озиция Совета потребителей по данному вопросу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связи с рассмотрением контрактов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take</w:t>
            </w:r>
            <w:r w:rsidRPr="006C7A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or</w:t>
            </w:r>
            <w:r w:rsidRPr="006C7A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pay</w:t>
            </w:r>
            <w:r w:rsidR="00D563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ранее была сформирована 14.02.2017г. (протокол «1/2017 п.2.1.), а также</w:t>
            </w:r>
            <w:r w:rsidR="00CD3C3D"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направлена в Министерство транспо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рта Российской Федерации письмами</w:t>
            </w:r>
            <w:r w:rsidR="00CD3C3D"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07.</w:t>
            </w:r>
            <w:r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2017 №131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от 07.12.2016 г. № 275 (</w:t>
            </w:r>
            <w:r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заключение Совета потребителей прилагается).</w:t>
            </w:r>
            <w:r w:rsidRPr="0075414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 w:type="page"/>
            </w:r>
            <w:r w:rsidR="00D563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72B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Совет потребителей отмечает, что введение приоритетного доступа в условиях дефицитных пропускных способностей инфраструктуры, влечет для потребителей услуг ОАО «РЖД» в сфере грузовых перевозок высокие риски нарушения условий публичных договоров и понуждения грузоотправителей к заключению договоров на кабальных условиях.</w:t>
            </w:r>
          </w:p>
          <w:p w:rsidR="006C7AEB" w:rsidRPr="0075414A" w:rsidRDefault="00E43F53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7AEB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оздание любых инструментов, меняющих существующие в настоящее время </w:t>
            </w:r>
            <w:r w:rsidR="006C7AEB">
              <w:rPr>
                <w:rFonts w:ascii="Times New Roman" w:hAnsi="Times New Roman" w:cs="Times New Roman"/>
                <w:sz w:val="28"/>
                <w:szCs w:val="28"/>
              </w:rPr>
              <w:t>правила доступа к перевозкам</w:t>
            </w:r>
            <w:r w:rsidR="006C7AEB" w:rsidRPr="007541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AE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правила подачи и исполнения заявок,</w:t>
            </w:r>
            <w:r w:rsidR="006C7AEB" w:rsidRPr="0075414A">
              <w:rPr>
                <w:rFonts w:ascii="Times New Roman" w:hAnsi="Times New Roman" w:cs="Times New Roman"/>
                <w:sz w:val="28"/>
                <w:szCs w:val="28"/>
              </w:rPr>
              <w:t xml:space="preserve"> должно соответствовать следующим принципиальным условиям:</w:t>
            </w:r>
          </w:p>
          <w:p w:rsidR="006C7AEB" w:rsidRPr="0075414A" w:rsidRDefault="006C7AEB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сохранение недискриминационного доступа к инфраструктуре </w:t>
            </w:r>
          </w:p>
          <w:p w:rsidR="006C7AEB" w:rsidRDefault="006C7AEB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75414A">
              <w:rPr>
                <w:rFonts w:ascii="Times New Roman" w:hAnsi="Times New Roman" w:cs="Times New Roman"/>
                <w:sz w:val="28"/>
                <w:szCs w:val="28"/>
              </w:rPr>
              <w:tab/>
              <w:t>отсутствие дополнительной тарифной нагрузки для грузоотправителей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53D" w:rsidRDefault="00E3053D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3D" w:rsidRDefault="00E3053D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3D" w:rsidRDefault="00E3053D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3D" w:rsidRDefault="00E3053D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3D" w:rsidRPr="0075414A" w:rsidRDefault="00E3053D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2F" w:rsidRDefault="006C7AEB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Приложение.</w:t>
            </w:r>
          </w:p>
          <w:p w:rsidR="00290EC0" w:rsidRPr="00290EC0" w:rsidRDefault="00290EC0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1.</w:t>
            </w:r>
            <w:r w:rsidR="006C7AEB">
              <w:rPr>
                <w:sz w:val="28"/>
                <w:szCs w:val="28"/>
                <w:lang w:bidi="ru-RU"/>
              </w:rPr>
              <w:t>З</w:t>
            </w:r>
            <w:r w:rsidR="006C7AEB" w:rsidRPr="006C7A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аключение Совета потребителей</w:t>
            </w:r>
            <w:r w:rsidRPr="00290E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r w:rsidRPr="00290E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письму № 275 от 07Л2.2016 г.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4 листах.</w:t>
            </w:r>
          </w:p>
          <w:p w:rsidR="006C7AEB" w:rsidRPr="006C7AEB" w:rsidRDefault="006C7AEB" w:rsidP="00E43F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AEB" w:rsidRPr="006836A7" w:rsidTr="00CD3C3D">
        <w:tc>
          <w:tcPr>
            <w:tcW w:w="9355" w:type="dxa"/>
            <w:gridSpan w:val="2"/>
          </w:tcPr>
          <w:p w:rsidR="006C7AEB" w:rsidRPr="0075414A" w:rsidRDefault="006C7AEB" w:rsidP="00171BAB">
            <w:pPr>
              <w:spacing w:before="20" w:after="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AEB" w:rsidRPr="006836A7" w:rsidTr="00CD3C3D">
        <w:tc>
          <w:tcPr>
            <w:tcW w:w="9355" w:type="dxa"/>
            <w:gridSpan w:val="2"/>
          </w:tcPr>
          <w:p w:rsidR="006C7AEB" w:rsidRPr="0075414A" w:rsidRDefault="006C7AEB" w:rsidP="00171BAB">
            <w:pPr>
              <w:spacing w:before="20" w:after="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A0330A" w:rsidTr="006C7AEB">
        <w:tc>
          <w:tcPr>
            <w:tcW w:w="4693" w:type="dxa"/>
            <w:vAlign w:val="bottom"/>
          </w:tcPr>
          <w:p w:rsidR="00A0330A" w:rsidRPr="001411CD" w:rsidRDefault="002331BE" w:rsidP="00A0330A">
            <w:pPr>
              <w:spacing w:before="20" w:after="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</w:t>
            </w:r>
            <w:r w:rsidR="00A0330A" w:rsidRPr="001411CD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редседатель</w:t>
            </w:r>
          </w:p>
          <w:p w:rsidR="00A0330A" w:rsidRDefault="00A0330A" w:rsidP="00A0330A">
            <w:r w:rsidRPr="001411CD">
              <w:rPr>
                <w:rFonts w:ascii="Times New Roman" w:hAnsi="Times New Roman" w:cs="Times New Roman"/>
                <w:b/>
                <w:sz w:val="28"/>
                <w:szCs w:val="28"/>
              </w:rPr>
              <w:t>Совета потребителей</w:t>
            </w:r>
          </w:p>
        </w:tc>
        <w:tc>
          <w:tcPr>
            <w:tcW w:w="4662" w:type="dxa"/>
            <w:vAlign w:val="bottom"/>
          </w:tcPr>
          <w:p w:rsidR="00A0330A" w:rsidRDefault="00A0330A" w:rsidP="00A0330A">
            <w:pPr>
              <w:jc w:val="right"/>
            </w:pPr>
            <w:r w:rsidRPr="001411CD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1C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1CD">
              <w:rPr>
                <w:rFonts w:ascii="Times New Roman" w:hAnsi="Times New Roman" w:cs="Times New Roman"/>
                <w:b/>
                <w:sz w:val="28"/>
                <w:szCs w:val="28"/>
              </w:rPr>
              <w:t>Южанов</w:t>
            </w:r>
          </w:p>
        </w:tc>
      </w:tr>
    </w:tbl>
    <w:p w:rsidR="00584BF2" w:rsidRDefault="00C2205E"/>
    <w:sectPr w:rsidR="00584B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5E" w:rsidRDefault="00C2205E" w:rsidP="005C5C50">
      <w:pPr>
        <w:spacing w:after="0" w:line="240" w:lineRule="auto"/>
      </w:pPr>
      <w:r>
        <w:separator/>
      </w:r>
    </w:p>
  </w:endnote>
  <w:endnote w:type="continuationSeparator" w:id="0">
    <w:p w:rsidR="00C2205E" w:rsidRDefault="00C2205E" w:rsidP="005C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451699"/>
      <w:docPartObj>
        <w:docPartGallery w:val="Page Numbers (Bottom of Page)"/>
        <w:docPartUnique/>
      </w:docPartObj>
    </w:sdtPr>
    <w:sdtEndPr/>
    <w:sdtContent>
      <w:p w:rsidR="005C5C50" w:rsidRDefault="005C5C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3D">
          <w:rPr>
            <w:noProof/>
          </w:rPr>
          <w:t>4</w:t>
        </w:r>
        <w:r>
          <w:fldChar w:fldCharType="end"/>
        </w:r>
      </w:p>
    </w:sdtContent>
  </w:sdt>
  <w:p w:rsidR="005C5C50" w:rsidRDefault="005C5C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5E" w:rsidRDefault="00C2205E" w:rsidP="005C5C50">
      <w:pPr>
        <w:spacing w:after="0" w:line="240" w:lineRule="auto"/>
      </w:pPr>
      <w:r>
        <w:separator/>
      </w:r>
    </w:p>
  </w:footnote>
  <w:footnote w:type="continuationSeparator" w:id="0">
    <w:p w:rsidR="00C2205E" w:rsidRDefault="00C2205E" w:rsidP="005C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5C6C"/>
    <w:multiLevelType w:val="hybridMultilevel"/>
    <w:tmpl w:val="8F2C15D6"/>
    <w:lvl w:ilvl="0" w:tplc="734CAF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4B5F08"/>
    <w:multiLevelType w:val="hybridMultilevel"/>
    <w:tmpl w:val="E26AAB54"/>
    <w:lvl w:ilvl="0" w:tplc="2AB25D84">
      <w:start w:val="1"/>
      <w:numFmt w:val="decimal"/>
      <w:lvlText w:val="%1)"/>
      <w:lvlJc w:val="left"/>
      <w:pPr>
        <w:ind w:left="107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F3977"/>
    <w:multiLevelType w:val="hybridMultilevel"/>
    <w:tmpl w:val="CA3CE448"/>
    <w:lvl w:ilvl="0" w:tplc="46EC6186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F525CDD"/>
    <w:multiLevelType w:val="hybridMultilevel"/>
    <w:tmpl w:val="3AC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36EC"/>
    <w:multiLevelType w:val="hybridMultilevel"/>
    <w:tmpl w:val="E1F2BFD0"/>
    <w:lvl w:ilvl="0" w:tplc="FA1A80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6F58"/>
    <w:multiLevelType w:val="hybridMultilevel"/>
    <w:tmpl w:val="97AC3D60"/>
    <w:lvl w:ilvl="0" w:tplc="FDBEF0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CA4768"/>
    <w:multiLevelType w:val="hybridMultilevel"/>
    <w:tmpl w:val="BAA6FB24"/>
    <w:lvl w:ilvl="0" w:tplc="62CCA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8"/>
    <w:rsid w:val="000B35EE"/>
    <w:rsid w:val="000C40BC"/>
    <w:rsid w:val="00122B55"/>
    <w:rsid w:val="00171BAB"/>
    <w:rsid w:val="00182309"/>
    <w:rsid w:val="0019071E"/>
    <w:rsid w:val="001B6990"/>
    <w:rsid w:val="001C0DE7"/>
    <w:rsid w:val="002331BE"/>
    <w:rsid w:val="00290EC0"/>
    <w:rsid w:val="00330440"/>
    <w:rsid w:val="004078E9"/>
    <w:rsid w:val="00502DE7"/>
    <w:rsid w:val="005A41F8"/>
    <w:rsid w:val="005C5C50"/>
    <w:rsid w:val="005E3027"/>
    <w:rsid w:val="006836A7"/>
    <w:rsid w:val="006901A0"/>
    <w:rsid w:val="006947D0"/>
    <w:rsid w:val="006C7AEB"/>
    <w:rsid w:val="006D6DD6"/>
    <w:rsid w:val="00707E43"/>
    <w:rsid w:val="0075414A"/>
    <w:rsid w:val="007B53BD"/>
    <w:rsid w:val="008C0E2F"/>
    <w:rsid w:val="00962014"/>
    <w:rsid w:val="009B30AB"/>
    <w:rsid w:val="00A001E1"/>
    <w:rsid w:val="00A0330A"/>
    <w:rsid w:val="00A53EE5"/>
    <w:rsid w:val="00A77B64"/>
    <w:rsid w:val="00B72B01"/>
    <w:rsid w:val="00B807BD"/>
    <w:rsid w:val="00B820EE"/>
    <w:rsid w:val="00BB76F0"/>
    <w:rsid w:val="00C2205E"/>
    <w:rsid w:val="00C44A7A"/>
    <w:rsid w:val="00C47CF0"/>
    <w:rsid w:val="00C81B5D"/>
    <w:rsid w:val="00CD3C3D"/>
    <w:rsid w:val="00D33A0F"/>
    <w:rsid w:val="00D437B1"/>
    <w:rsid w:val="00D56351"/>
    <w:rsid w:val="00DA32C9"/>
    <w:rsid w:val="00DC2923"/>
    <w:rsid w:val="00DE4ACF"/>
    <w:rsid w:val="00E3053D"/>
    <w:rsid w:val="00E43F53"/>
    <w:rsid w:val="00E745C5"/>
    <w:rsid w:val="00EE0FF1"/>
    <w:rsid w:val="00F03217"/>
    <w:rsid w:val="00F20984"/>
    <w:rsid w:val="00F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AC23"/>
  <w15:docId w15:val="{1B43602E-987E-4850-8E00-807B638B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C50"/>
  </w:style>
  <w:style w:type="paragraph" w:styleId="a6">
    <w:name w:val="footer"/>
    <w:basedOn w:val="a"/>
    <w:link w:val="a7"/>
    <w:uiPriority w:val="99"/>
    <w:unhideWhenUsed/>
    <w:rsid w:val="005C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C50"/>
  </w:style>
  <w:style w:type="paragraph" w:styleId="a8">
    <w:name w:val="Balloon Text"/>
    <w:basedOn w:val="a"/>
    <w:link w:val="a9"/>
    <w:uiPriority w:val="99"/>
    <w:semiHidden/>
    <w:unhideWhenUsed/>
    <w:rsid w:val="00B8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4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0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A921-512D-4530-AFB8-68EE18B1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WS-DIT002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Милана Борисовна</dc:creator>
  <cp:lastModifiedBy>Гонченко Виктория Михайловна</cp:lastModifiedBy>
  <cp:revision>7</cp:revision>
  <dcterms:created xsi:type="dcterms:W3CDTF">2018-09-06T10:16:00Z</dcterms:created>
  <dcterms:modified xsi:type="dcterms:W3CDTF">2018-09-07T09:09:00Z</dcterms:modified>
</cp:coreProperties>
</file>